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CE" w:rsidRPr="00C36FCE" w:rsidRDefault="00C36FCE" w:rsidP="00C36FCE">
      <w:pPr>
        <w:ind w:right="-180"/>
        <w:rPr>
          <w:rFonts w:asciiTheme="minorHAnsi" w:hAnsiTheme="minorHAnsi"/>
          <w:b/>
          <w:sz w:val="24"/>
          <w:szCs w:val="24"/>
        </w:rPr>
      </w:pPr>
      <w:r w:rsidRPr="00C36FCE">
        <w:rPr>
          <w:rFonts w:asciiTheme="minorHAnsi" w:hAnsiTheme="minorHAnsi"/>
          <w:b/>
          <w:sz w:val="24"/>
          <w:szCs w:val="24"/>
        </w:rPr>
        <w:t>PRAVOSUDNA AKADEMIJA</w:t>
      </w:r>
    </w:p>
    <w:p w:rsidR="00C36FCE" w:rsidRPr="00C36FCE" w:rsidRDefault="00C36FCE" w:rsidP="00C36FCE">
      <w:pPr>
        <w:ind w:right="-180"/>
        <w:rPr>
          <w:rFonts w:asciiTheme="minorHAnsi" w:hAnsiTheme="minorHAnsi"/>
          <w:b/>
          <w:sz w:val="24"/>
          <w:szCs w:val="24"/>
        </w:rPr>
      </w:pPr>
      <w:r w:rsidRPr="00C36FCE">
        <w:rPr>
          <w:rFonts w:asciiTheme="minorHAnsi" w:hAnsiTheme="minorHAnsi"/>
          <w:b/>
          <w:sz w:val="24"/>
          <w:szCs w:val="24"/>
        </w:rPr>
        <w:t>MAKSIMIRSKA CESTA 63</w:t>
      </w:r>
    </w:p>
    <w:p w:rsidR="00C36FCE" w:rsidRPr="00C36FCE" w:rsidRDefault="00C36FCE" w:rsidP="00C36FCE">
      <w:pPr>
        <w:ind w:right="-180"/>
        <w:rPr>
          <w:rFonts w:asciiTheme="minorHAnsi" w:hAnsiTheme="minorHAnsi"/>
          <w:b/>
          <w:sz w:val="24"/>
          <w:szCs w:val="24"/>
        </w:rPr>
      </w:pPr>
      <w:r w:rsidRPr="00C36FCE">
        <w:rPr>
          <w:rFonts w:asciiTheme="minorHAnsi" w:hAnsiTheme="minorHAnsi"/>
          <w:b/>
          <w:sz w:val="24"/>
          <w:szCs w:val="24"/>
        </w:rPr>
        <w:t>10 000 ZAGREB</w:t>
      </w:r>
    </w:p>
    <w:p w:rsidR="00C36FCE" w:rsidRPr="00C36FCE" w:rsidRDefault="00C36FCE" w:rsidP="00C36FCE">
      <w:pPr>
        <w:ind w:right="-180"/>
        <w:rPr>
          <w:rFonts w:asciiTheme="minorHAnsi" w:hAnsiTheme="minorHAnsi"/>
          <w:b/>
          <w:sz w:val="24"/>
          <w:szCs w:val="24"/>
        </w:rPr>
      </w:pPr>
    </w:p>
    <w:p w:rsidR="009D0E5B" w:rsidRDefault="009D0E5B" w:rsidP="00C36FCE">
      <w:pPr>
        <w:ind w:right="-180"/>
        <w:rPr>
          <w:rFonts w:asciiTheme="minorHAnsi" w:hAnsiTheme="minorHAnsi"/>
          <w:b/>
          <w:sz w:val="24"/>
          <w:szCs w:val="24"/>
        </w:rPr>
      </w:pPr>
    </w:p>
    <w:p w:rsidR="00C36FCE" w:rsidRPr="00C36FCE" w:rsidRDefault="00FE43BB" w:rsidP="00C36FCE">
      <w:pPr>
        <w:ind w:right="-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Zagreb, 5</w:t>
      </w:r>
      <w:r w:rsidR="00C36FCE" w:rsidRPr="00C36FCE">
        <w:rPr>
          <w:rFonts w:asciiTheme="minorHAnsi" w:hAnsiTheme="minorHAnsi"/>
          <w:b/>
          <w:sz w:val="24"/>
          <w:szCs w:val="24"/>
        </w:rPr>
        <w:t xml:space="preserve">. </w:t>
      </w:r>
      <w:r>
        <w:rPr>
          <w:rFonts w:asciiTheme="minorHAnsi" w:hAnsiTheme="minorHAnsi"/>
          <w:b/>
          <w:sz w:val="24"/>
          <w:szCs w:val="24"/>
        </w:rPr>
        <w:t>studenog</w:t>
      </w:r>
      <w:r w:rsidR="00C36FCE" w:rsidRPr="00C36FCE">
        <w:rPr>
          <w:rFonts w:asciiTheme="minorHAnsi" w:hAnsiTheme="minorHAnsi"/>
          <w:b/>
          <w:sz w:val="24"/>
          <w:szCs w:val="24"/>
        </w:rPr>
        <w:t xml:space="preserve"> 202</w:t>
      </w:r>
      <w:r w:rsidR="000E61AE">
        <w:rPr>
          <w:rFonts w:asciiTheme="minorHAnsi" w:hAnsiTheme="minorHAnsi"/>
          <w:b/>
          <w:sz w:val="24"/>
          <w:szCs w:val="24"/>
        </w:rPr>
        <w:t>4</w:t>
      </w:r>
      <w:r w:rsidR="00C36FCE" w:rsidRPr="00C36FCE">
        <w:rPr>
          <w:rFonts w:asciiTheme="minorHAnsi" w:hAnsiTheme="minorHAnsi"/>
          <w:b/>
          <w:sz w:val="24"/>
          <w:szCs w:val="24"/>
        </w:rPr>
        <w:t>.</w:t>
      </w:r>
    </w:p>
    <w:p w:rsidR="00C36FCE" w:rsidRDefault="00C36FCE" w:rsidP="000947FF">
      <w:pPr>
        <w:jc w:val="center"/>
        <w:rPr>
          <w:b/>
          <w:sz w:val="24"/>
          <w:szCs w:val="24"/>
        </w:rPr>
      </w:pPr>
    </w:p>
    <w:p w:rsidR="00C36FCE" w:rsidRDefault="00C36FCE" w:rsidP="000947FF">
      <w:pPr>
        <w:jc w:val="center"/>
        <w:rPr>
          <w:b/>
          <w:sz w:val="24"/>
          <w:szCs w:val="24"/>
        </w:rPr>
      </w:pPr>
    </w:p>
    <w:p w:rsidR="003B70F5" w:rsidRDefault="003B70F5" w:rsidP="000947FF">
      <w:pPr>
        <w:jc w:val="center"/>
        <w:rPr>
          <w:b/>
          <w:sz w:val="24"/>
          <w:szCs w:val="24"/>
        </w:rPr>
      </w:pPr>
    </w:p>
    <w:p w:rsidR="00C36FCE" w:rsidRDefault="00C36FCE" w:rsidP="000947FF">
      <w:pPr>
        <w:jc w:val="center"/>
        <w:rPr>
          <w:b/>
          <w:sz w:val="24"/>
          <w:szCs w:val="24"/>
        </w:rPr>
      </w:pPr>
    </w:p>
    <w:p w:rsidR="000947FF" w:rsidRDefault="001F2D76" w:rsidP="000947FF">
      <w:pPr>
        <w:jc w:val="center"/>
        <w:rPr>
          <w:b/>
          <w:sz w:val="24"/>
          <w:szCs w:val="24"/>
        </w:rPr>
      </w:pPr>
      <w:r w:rsidRPr="001F2D76">
        <w:rPr>
          <w:b/>
          <w:sz w:val="24"/>
          <w:szCs w:val="24"/>
        </w:rPr>
        <w:t xml:space="preserve">OBRAZLOŽENJE </w:t>
      </w:r>
      <w:r w:rsidR="000947FF">
        <w:rPr>
          <w:b/>
          <w:sz w:val="24"/>
          <w:szCs w:val="24"/>
        </w:rPr>
        <w:t>PRIJEDLOGA REBALANSA</w:t>
      </w:r>
      <w:r w:rsidRPr="001F2D76">
        <w:rPr>
          <w:b/>
          <w:sz w:val="24"/>
          <w:szCs w:val="24"/>
        </w:rPr>
        <w:t xml:space="preserve"> FINANCIJSKOG PLANA</w:t>
      </w:r>
    </w:p>
    <w:p w:rsidR="00373013" w:rsidRPr="001F2D76" w:rsidRDefault="000E61AE" w:rsidP="000947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PRAVOSUDNE AKADEMIJE ZA 2024</w:t>
      </w:r>
      <w:r w:rsidR="001F2D76" w:rsidRPr="001F2D76">
        <w:rPr>
          <w:b/>
          <w:sz w:val="24"/>
          <w:szCs w:val="24"/>
        </w:rPr>
        <w:t>.g.</w:t>
      </w:r>
    </w:p>
    <w:p w:rsidR="00373013" w:rsidRPr="00373013" w:rsidRDefault="00373013" w:rsidP="00373013"/>
    <w:p w:rsidR="00373013" w:rsidRPr="00373013" w:rsidRDefault="00373013" w:rsidP="001F2D76">
      <w:pPr>
        <w:jc w:val="both"/>
      </w:pPr>
    </w:p>
    <w:p w:rsidR="00373013" w:rsidRDefault="00373013" w:rsidP="001F2D76">
      <w:pPr>
        <w:jc w:val="both"/>
      </w:pPr>
      <w:r w:rsidRPr="00373013">
        <w:t>U nastavku dostavljam</w:t>
      </w:r>
      <w:r w:rsidR="001F2D76">
        <w:t>o</w:t>
      </w:r>
      <w:r w:rsidRPr="00373013">
        <w:t xml:space="preserve"> obrazloženje promjena po aktivnostima kako su navedene u tabeli</w:t>
      </w:r>
      <w:r w:rsidR="005115AC">
        <w:t>, uz napomenu da su izmijene pripremljene u suradnji s kolegama iz Ministarstva pravosuđa i uprave</w:t>
      </w:r>
      <w:r w:rsidR="00E71E68">
        <w:t xml:space="preserve"> RH</w:t>
      </w:r>
      <w:r w:rsidR="005115AC">
        <w:t xml:space="preserve"> koje nadziru financijski dio poslovanja Pravosudne akademije</w:t>
      </w:r>
      <w:r w:rsidR="00E71E68">
        <w:t>, a sukladno uputama Ministarstva financija RH</w:t>
      </w:r>
      <w:r w:rsidRPr="00373013">
        <w:t>:</w:t>
      </w:r>
    </w:p>
    <w:p w:rsidR="001F2D76" w:rsidRPr="00373013" w:rsidRDefault="001F2D76" w:rsidP="001F2D76">
      <w:pPr>
        <w:jc w:val="both"/>
      </w:pPr>
    </w:p>
    <w:p w:rsidR="00373013" w:rsidRPr="001F2D76" w:rsidRDefault="00373013" w:rsidP="001F2D76">
      <w:pPr>
        <w:pStyle w:val="Odlomakpopisa"/>
        <w:numPr>
          <w:ilvl w:val="0"/>
          <w:numId w:val="1"/>
        </w:numPr>
        <w:ind w:left="284" w:hanging="284"/>
        <w:jc w:val="both"/>
        <w:rPr>
          <w:b/>
          <w:i/>
        </w:rPr>
      </w:pPr>
      <w:r w:rsidRPr="001F2D76">
        <w:rPr>
          <w:b/>
          <w:i/>
        </w:rPr>
        <w:t>Stručno usavršavanje pravosudnih dužnosnika i savjetnika u pravosudnim tijelima</w:t>
      </w:r>
    </w:p>
    <w:p w:rsidR="00AF4378" w:rsidRDefault="00AF4378" w:rsidP="00197D6A">
      <w:pPr>
        <w:jc w:val="both"/>
      </w:pPr>
      <w:r>
        <w:t>N</w:t>
      </w:r>
      <w:r w:rsidR="00095658">
        <w:t xml:space="preserve">a izvoru 11 (Državni proračun) </w:t>
      </w:r>
      <w:r w:rsidR="00095658" w:rsidRPr="00095658">
        <w:t>predvidjeli smo</w:t>
      </w:r>
      <w:r w:rsidR="00095658">
        <w:t xml:space="preserve"> povećanje potrebnih sredstava kako bismo mogli organizirati</w:t>
      </w:r>
      <w:r w:rsidR="00095658" w:rsidRPr="00095658">
        <w:t xml:space="preserve"> niz dodatnih obrazovnih aktivnosti do kraja godine temeljem odluka Programskog i Upravnog vijeća Pravosudne akademije</w:t>
      </w:r>
      <w:r w:rsidR="00095658">
        <w:t>.  Za provođenje dodatnih obrazovnih</w:t>
      </w:r>
      <w:r w:rsidR="00095658" w:rsidRPr="00095658">
        <w:t xml:space="preserve"> aktivnosti isk</w:t>
      </w:r>
      <w:r w:rsidR="00095658">
        <w:t xml:space="preserve">azali </w:t>
      </w:r>
      <w:r w:rsidR="004B2479">
        <w:t xml:space="preserve">smo </w:t>
      </w:r>
      <w:r w:rsidR="00095658">
        <w:t>dodatne potrebe na kontu</w:t>
      </w:r>
      <w:r w:rsidR="00095658" w:rsidRPr="00095658">
        <w:t xml:space="preserve"> 3237 Intelektualne i osobne usluge, za naknade predavačima (prenamjenom </w:t>
      </w:r>
      <w:r w:rsidR="004B2479">
        <w:t xml:space="preserve">u okviru već odobrenog financijskog plana </w:t>
      </w:r>
      <w:r w:rsidR="00095658" w:rsidRPr="00095658">
        <w:t>smo osi</w:t>
      </w:r>
      <w:r w:rsidR="00095658">
        <w:t>gurali 40.00</w:t>
      </w:r>
      <w:r w:rsidR="004B2479">
        <w:t>0 EUR</w:t>
      </w:r>
      <w:r w:rsidR="00095658" w:rsidRPr="00095658">
        <w:t>) i</w:t>
      </w:r>
      <w:r w:rsidR="00095658">
        <w:t xml:space="preserve"> na kontu</w:t>
      </w:r>
      <w:r w:rsidR="00095658" w:rsidRPr="00095658">
        <w:t xml:space="preserve"> 3241</w:t>
      </w:r>
      <w:r w:rsidR="00095658">
        <w:t xml:space="preserve"> </w:t>
      </w:r>
      <w:r w:rsidR="00095658" w:rsidRPr="00095658">
        <w:t>Naknade putnih troškova osobama van radnog odnosa</w:t>
      </w:r>
      <w:r w:rsidR="000F17EE">
        <w:t xml:space="preserve"> </w:t>
      </w:r>
      <w:r w:rsidR="000F17EE" w:rsidRPr="00095658">
        <w:t>(naknade putnih troškova predavačima kada se radionice pro</w:t>
      </w:r>
      <w:r w:rsidR="000F17EE">
        <w:t>vode u regionalnim centrima PA)</w:t>
      </w:r>
      <w:r w:rsidR="00095658" w:rsidRPr="00095658">
        <w:t xml:space="preserve"> </w:t>
      </w:r>
      <w:r w:rsidR="00FE43BB">
        <w:t>gdje nam je odobreno dodatno</w:t>
      </w:r>
      <w:r w:rsidR="00095658">
        <w:t xml:space="preserve"> </w:t>
      </w:r>
      <w:r w:rsidR="00095658" w:rsidRPr="00095658">
        <w:t>32.000 EUR</w:t>
      </w:r>
      <w:r w:rsidR="00095658">
        <w:t>.</w:t>
      </w:r>
    </w:p>
    <w:p w:rsidR="00101BC5" w:rsidRPr="00197D6A" w:rsidRDefault="00101BC5" w:rsidP="00197D6A">
      <w:pPr>
        <w:jc w:val="both"/>
      </w:pPr>
    </w:p>
    <w:p w:rsidR="00373013" w:rsidRPr="001F2D76" w:rsidRDefault="00373013" w:rsidP="001F2D76">
      <w:pPr>
        <w:pStyle w:val="Odlomakpopisa"/>
        <w:numPr>
          <w:ilvl w:val="0"/>
          <w:numId w:val="1"/>
        </w:numPr>
        <w:ind w:left="426"/>
        <w:jc w:val="both"/>
        <w:rPr>
          <w:b/>
          <w:i/>
        </w:rPr>
      </w:pPr>
      <w:r w:rsidRPr="001F2D76">
        <w:rPr>
          <w:b/>
          <w:i/>
        </w:rPr>
        <w:t>Izbor i obuka vježbenika</w:t>
      </w:r>
    </w:p>
    <w:p w:rsidR="00373013" w:rsidRPr="00F7718C" w:rsidRDefault="009B583E" w:rsidP="001F2D76">
      <w:pPr>
        <w:jc w:val="both"/>
      </w:pPr>
      <w:r w:rsidRPr="00F7718C">
        <w:t xml:space="preserve">Na ovoj aktivnosti </w:t>
      </w:r>
      <w:r w:rsidR="00095658">
        <w:t xml:space="preserve">predvidjeli </w:t>
      </w:r>
      <w:r w:rsidR="00095658" w:rsidRPr="00095658">
        <w:t>smo smanjenje u iznosu od 89.000 EUR budući da se do kraja godine ne planiraju dodatne aktivnosti vezano uz edukaciju vježbenika, a navedene uštede prenamijenili smo za aktivnost Državne škole.</w:t>
      </w:r>
    </w:p>
    <w:p w:rsidR="00101BC5" w:rsidRPr="00373013" w:rsidRDefault="00101BC5" w:rsidP="001F2D76">
      <w:pPr>
        <w:jc w:val="both"/>
      </w:pPr>
    </w:p>
    <w:p w:rsidR="00373013" w:rsidRPr="001F2D76" w:rsidRDefault="00373013" w:rsidP="001F2D76">
      <w:pPr>
        <w:pStyle w:val="Odlomakpopisa"/>
        <w:numPr>
          <w:ilvl w:val="0"/>
          <w:numId w:val="1"/>
        </w:numPr>
        <w:ind w:left="426"/>
        <w:jc w:val="both"/>
        <w:rPr>
          <w:b/>
          <w:i/>
        </w:rPr>
      </w:pPr>
      <w:r w:rsidRPr="001F2D76">
        <w:rPr>
          <w:b/>
          <w:i/>
        </w:rPr>
        <w:t>Administracija i upravljanje Pravosudne akademije</w:t>
      </w:r>
    </w:p>
    <w:p w:rsidR="005313DE" w:rsidRDefault="00110B14" w:rsidP="001F2D76">
      <w:pPr>
        <w:jc w:val="both"/>
      </w:pPr>
      <w:r w:rsidRPr="00D86FA0">
        <w:t xml:space="preserve">Na aktivnosti A844001 Administracija i upravljanje povećali smo iznose na kontima vezanim uz rashode za zaposlene </w:t>
      </w:r>
      <w:r w:rsidR="00A97B66">
        <w:t xml:space="preserve">za 130.500 EUR </w:t>
      </w:r>
      <w:r w:rsidRPr="00D86FA0">
        <w:t>temeljem izračuna postojećeg broja djelatnik</w:t>
      </w:r>
      <w:r w:rsidR="00AB03D5">
        <w:t>a</w:t>
      </w:r>
      <w:r w:rsidR="00A97B66">
        <w:t xml:space="preserve"> i povećanja koeficijenata iz travnja </w:t>
      </w:r>
      <w:proofErr w:type="spellStart"/>
      <w:r w:rsidR="00A97B66">
        <w:t>o.g</w:t>
      </w:r>
      <w:proofErr w:type="spellEnd"/>
      <w:r w:rsidR="00A97B66">
        <w:t>.</w:t>
      </w:r>
      <w:r w:rsidR="00AB03D5">
        <w:t xml:space="preserve"> te dodatnog zapošljavanja 6</w:t>
      </w:r>
      <w:r w:rsidRPr="00D86FA0">
        <w:t xml:space="preserve"> djelatnika krajem godine (predvidjeli smo njihov trošak plaća u studenom i prosincu </w:t>
      </w:r>
      <w:proofErr w:type="spellStart"/>
      <w:r w:rsidRPr="00D86FA0">
        <w:t>o.g</w:t>
      </w:r>
      <w:proofErr w:type="spellEnd"/>
      <w:r w:rsidR="008563B9">
        <w:t>.</w:t>
      </w:r>
      <w:r w:rsidR="000F17EE">
        <w:t>).</w:t>
      </w:r>
    </w:p>
    <w:p w:rsidR="00F7718C" w:rsidRDefault="008563B9" w:rsidP="001F2D76">
      <w:pPr>
        <w:jc w:val="both"/>
      </w:pPr>
      <w:r>
        <w:t>U</w:t>
      </w:r>
      <w:r w:rsidR="00110B14" w:rsidRPr="00D86FA0">
        <w:t>z navedeno kao nedostatna sredstva na ovoj aktivnosti iskazali smo na kontu 3211</w:t>
      </w:r>
      <w:r w:rsidR="00A97B66">
        <w:t>-Službena putovanja</w:t>
      </w:r>
      <w:r w:rsidR="00110B14" w:rsidRPr="00D86FA0">
        <w:t xml:space="preserve"> 25.000 EUR </w:t>
      </w:r>
      <w:r w:rsidR="00593DB5">
        <w:t xml:space="preserve">(provođenje testiranja </w:t>
      </w:r>
      <w:r w:rsidR="000F17EE">
        <w:t xml:space="preserve">u regionalnim centrima PA </w:t>
      </w:r>
      <w:bookmarkStart w:id="0" w:name="_GoBack"/>
      <w:bookmarkEnd w:id="0"/>
      <w:r w:rsidR="00593DB5">
        <w:t>u okviru Državne škole</w:t>
      </w:r>
      <w:r w:rsidR="00110B14" w:rsidRPr="00D86FA0">
        <w:t>), na kontu 3241</w:t>
      </w:r>
      <w:r w:rsidR="00A97B66">
        <w:t>-Naknade troškova osobama van radnog odnosa</w:t>
      </w:r>
      <w:r w:rsidR="00110B14" w:rsidRPr="00D86FA0">
        <w:t xml:space="preserve"> 2.000 EUR za podmirenje putnih troškova članova UV i PV PA kada dolaze na sjednice tijela, kont</w:t>
      </w:r>
      <w:r w:rsidR="00A97B66">
        <w:t>u 3431-</w:t>
      </w:r>
      <w:r w:rsidR="00110B14" w:rsidRPr="00D86FA0">
        <w:t>Bankarski troškovi u iznosu od 1.000 EUR zbog pove</w:t>
      </w:r>
      <w:r w:rsidR="00A97B66">
        <w:t>ćanih troškova te na kontu 4511-</w:t>
      </w:r>
      <w:r w:rsidR="00110B14" w:rsidRPr="00D86FA0">
        <w:t>Dodatna ulaganja na građevinskim objektima 62.500 EUR zbog toga što je predviđeno preseljenje regionalnog centra PA u Rijeci u nov</w:t>
      </w:r>
      <w:r w:rsidR="00DA72CF">
        <w:t>e prostorije koje treba urediti.</w:t>
      </w:r>
    </w:p>
    <w:p w:rsidR="00101BC5" w:rsidRDefault="00101BC5" w:rsidP="001F2D76">
      <w:pPr>
        <w:jc w:val="both"/>
      </w:pPr>
    </w:p>
    <w:p w:rsidR="00373013" w:rsidRPr="001F2D76" w:rsidRDefault="00373013" w:rsidP="001F2D76">
      <w:pPr>
        <w:pStyle w:val="Odlomakpopisa"/>
        <w:numPr>
          <w:ilvl w:val="0"/>
          <w:numId w:val="1"/>
        </w:numPr>
        <w:ind w:left="426"/>
        <w:jc w:val="both"/>
        <w:rPr>
          <w:b/>
          <w:i/>
        </w:rPr>
      </w:pPr>
      <w:r w:rsidRPr="001F2D76">
        <w:rPr>
          <w:b/>
          <w:i/>
        </w:rPr>
        <w:t>Državna škola</w:t>
      </w:r>
    </w:p>
    <w:p w:rsidR="00D32E65" w:rsidRDefault="006A4A0F" w:rsidP="00DA72CF">
      <w:pPr>
        <w:ind w:left="45"/>
        <w:jc w:val="both"/>
      </w:pPr>
      <w:r w:rsidRPr="00F7718C">
        <w:t xml:space="preserve">Na ovoj aktivnosti </w:t>
      </w:r>
      <w:r w:rsidR="00DA72CF" w:rsidRPr="00DA72CF">
        <w:t>imamo potrebu za značajnim dodatnim sredstvima kako bi se dovršio ciklus Državne škole započet u 2023. te osigurala sredstva za novi ciklus koji temeljem odluke Upravn</w:t>
      </w:r>
      <w:r w:rsidR="008563B9">
        <w:t xml:space="preserve">og vijeća PA kreće 15.10.2024. </w:t>
      </w:r>
      <w:r w:rsidR="00DA72CF" w:rsidRPr="00DA72CF">
        <w:t xml:space="preserve"> </w:t>
      </w:r>
    </w:p>
    <w:p w:rsidR="00DA72CF" w:rsidRDefault="008563B9" w:rsidP="00DA72CF">
      <w:pPr>
        <w:ind w:left="45"/>
        <w:jc w:val="both"/>
      </w:pPr>
      <w:r>
        <w:lastRenderedPageBreak/>
        <w:t>N</w:t>
      </w:r>
      <w:r w:rsidR="00A97B66">
        <w:t>a kontu 3237-</w:t>
      </w:r>
      <w:r w:rsidR="00DA72CF" w:rsidRPr="00DA72CF">
        <w:t xml:space="preserve">Intelektualne usluge (naknade predavačima u okviru Državne škole) predvidjeli smo </w:t>
      </w:r>
      <w:r>
        <w:t>dodatna</w:t>
      </w:r>
      <w:r w:rsidR="00DA72CF" w:rsidRPr="00DA72CF">
        <w:t xml:space="preserve"> sredstva u iznosu od 50.000 EUR dok smo 89.000 EUR osigurali prenamjenom s aktivnosti edukac</w:t>
      </w:r>
      <w:r w:rsidR="00A97B66">
        <w:t>ije vježbenika, a na kontu 3241-</w:t>
      </w:r>
      <w:r w:rsidR="00DA72CF" w:rsidRPr="00DA72CF">
        <w:t>Naknade troškova osobama van radnog odnosa</w:t>
      </w:r>
      <w:r w:rsidR="00BD25A2">
        <w:t xml:space="preserve"> (polaznici Državne škole)</w:t>
      </w:r>
      <w:r w:rsidR="00DA72CF" w:rsidRPr="00DA72CF">
        <w:t xml:space="preserve"> predvidjeli smo kao </w:t>
      </w:r>
      <w:r>
        <w:t>dodatno potrebna (</w:t>
      </w:r>
      <w:r w:rsidR="00DA72CF" w:rsidRPr="00DA72CF">
        <w:t>nedostajuća sredstva</w:t>
      </w:r>
      <w:r>
        <w:t>)</w:t>
      </w:r>
      <w:r w:rsidR="00DA72CF" w:rsidRPr="00DA72CF">
        <w:t xml:space="preserve"> 30.000 EUR.</w:t>
      </w:r>
    </w:p>
    <w:p w:rsidR="00DA72CF" w:rsidRPr="00BD25A2" w:rsidRDefault="00D32E65" w:rsidP="00BD25A2">
      <w:pPr>
        <w:jc w:val="both"/>
      </w:pPr>
      <w:r w:rsidRPr="004F0325">
        <w:t>U okviru ove aktivnost</w:t>
      </w:r>
      <w:r>
        <w:t>i na izvoru 43 predvidjeli smo povećanje od 30</w:t>
      </w:r>
      <w:r w:rsidRPr="004F0325">
        <w:t xml:space="preserve">.000 EUR za podmirenje troškova </w:t>
      </w:r>
      <w:r>
        <w:t>Državne škole.</w:t>
      </w:r>
      <w:r w:rsidR="00BD25A2">
        <w:t xml:space="preserve"> </w:t>
      </w:r>
      <w:r w:rsidR="00BD25A2" w:rsidRPr="00BD25A2">
        <w:t xml:space="preserve">Za potrebe provođenja državne škole </w:t>
      </w:r>
      <w:r w:rsidR="00BD25A2">
        <w:t xml:space="preserve">predvidjeli smo povećanje od 60.000 EUR na aktivnosti Stručno </w:t>
      </w:r>
      <w:r w:rsidR="00BD25A2" w:rsidRPr="00BD25A2">
        <w:t>usavršavanje drugih sudionika u postupcima pred pravosudnim tijelima</w:t>
      </w:r>
      <w:r w:rsidR="00007854">
        <w:t>.</w:t>
      </w:r>
    </w:p>
    <w:p w:rsidR="00BD25A2" w:rsidRDefault="00BD25A2" w:rsidP="00DA72CF">
      <w:pPr>
        <w:rPr>
          <w:color w:val="1F497D"/>
        </w:rPr>
      </w:pPr>
    </w:p>
    <w:p w:rsidR="00373013" w:rsidRPr="001F2D76" w:rsidRDefault="00373013" w:rsidP="001F2D76">
      <w:pPr>
        <w:pStyle w:val="Odlomakpopisa"/>
        <w:numPr>
          <w:ilvl w:val="0"/>
          <w:numId w:val="1"/>
        </w:numPr>
        <w:ind w:left="426"/>
        <w:jc w:val="both"/>
        <w:rPr>
          <w:b/>
          <w:i/>
        </w:rPr>
      </w:pPr>
      <w:r w:rsidRPr="001F2D76">
        <w:rPr>
          <w:b/>
          <w:i/>
        </w:rPr>
        <w:t>Stručno usavršavanje službenika iz područja pravosuđa</w:t>
      </w:r>
    </w:p>
    <w:p w:rsidR="00373013" w:rsidRPr="00373013" w:rsidRDefault="00A97B66" w:rsidP="001F2D76">
      <w:pPr>
        <w:jc w:val="both"/>
      </w:pPr>
      <w:r>
        <w:t xml:space="preserve">Na ovoj aktivnosti nismo predvidjeli promjene </w:t>
      </w:r>
      <w:r w:rsidR="009E0575">
        <w:t>do kraja godine.</w:t>
      </w:r>
    </w:p>
    <w:p w:rsidR="004F0325" w:rsidRPr="00373013" w:rsidRDefault="004F0325" w:rsidP="00556558">
      <w:pPr>
        <w:jc w:val="both"/>
      </w:pPr>
    </w:p>
    <w:p w:rsidR="003C3BDA" w:rsidRDefault="003C3BDA" w:rsidP="001F2D76">
      <w:pPr>
        <w:jc w:val="both"/>
      </w:pPr>
    </w:p>
    <w:p w:rsidR="003C3BDA" w:rsidRPr="00373013" w:rsidRDefault="003C3BDA" w:rsidP="001F2D76">
      <w:pPr>
        <w:jc w:val="both"/>
      </w:pPr>
    </w:p>
    <w:p w:rsidR="009407BF" w:rsidRDefault="009407BF" w:rsidP="001F2D76">
      <w:pPr>
        <w:jc w:val="both"/>
      </w:pPr>
    </w:p>
    <w:p w:rsidR="009407BF" w:rsidRDefault="009407BF" w:rsidP="001F2D76">
      <w:pPr>
        <w:jc w:val="both"/>
      </w:pPr>
    </w:p>
    <w:sectPr w:rsidR="0094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2B6D"/>
    <w:multiLevelType w:val="hybridMultilevel"/>
    <w:tmpl w:val="F7E839C6"/>
    <w:lvl w:ilvl="0" w:tplc="26DAD8DC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F2E32B8"/>
    <w:multiLevelType w:val="hybridMultilevel"/>
    <w:tmpl w:val="B5306E20"/>
    <w:lvl w:ilvl="0" w:tplc="4D2C0BB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55F5865"/>
    <w:multiLevelType w:val="hybridMultilevel"/>
    <w:tmpl w:val="09123BB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B7466"/>
    <w:multiLevelType w:val="hybridMultilevel"/>
    <w:tmpl w:val="79BCB0F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3747A"/>
    <w:multiLevelType w:val="hybridMultilevel"/>
    <w:tmpl w:val="547EB8F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13"/>
    <w:rsid w:val="00007854"/>
    <w:rsid w:val="000907D3"/>
    <w:rsid w:val="000947FF"/>
    <w:rsid w:val="00095658"/>
    <w:rsid w:val="000C5B3A"/>
    <w:rsid w:val="000C6348"/>
    <w:rsid w:val="000E61AE"/>
    <w:rsid w:val="000F17EE"/>
    <w:rsid w:val="00101BC5"/>
    <w:rsid w:val="00110B14"/>
    <w:rsid w:val="001137D0"/>
    <w:rsid w:val="00130C64"/>
    <w:rsid w:val="0019249E"/>
    <w:rsid w:val="00197D6A"/>
    <w:rsid w:val="001A509C"/>
    <w:rsid w:val="001F2D76"/>
    <w:rsid w:val="002A7F8D"/>
    <w:rsid w:val="00373013"/>
    <w:rsid w:val="003B70F5"/>
    <w:rsid w:val="003C3BDA"/>
    <w:rsid w:val="004A12CF"/>
    <w:rsid w:val="004B2479"/>
    <w:rsid w:val="004F0325"/>
    <w:rsid w:val="005115AC"/>
    <w:rsid w:val="005313DE"/>
    <w:rsid w:val="00556558"/>
    <w:rsid w:val="00593DB5"/>
    <w:rsid w:val="005B14EF"/>
    <w:rsid w:val="005F557F"/>
    <w:rsid w:val="006A4A0F"/>
    <w:rsid w:val="006C0929"/>
    <w:rsid w:val="007454EF"/>
    <w:rsid w:val="00771512"/>
    <w:rsid w:val="00801210"/>
    <w:rsid w:val="008563B9"/>
    <w:rsid w:val="008A3F4C"/>
    <w:rsid w:val="008F785A"/>
    <w:rsid w:val="009407BF"/>
    <w:rsid w:val="009B583E"/>
    <w:rsid w:val="009D0E5B"/>
    <w:rsid w:val="009E0575"/>
    <w:rsid w:val="00A41D0C"/>
    <w:rsid w:val="00A9398F"/>
    <w:rsid w:val="00A97B66"/>
    <w:rsid w:val="00AB03D5"/>
    <w:rsid w:val="00AF4378"/>
    <w:rsid w:val="00BD25A2"/>
    <w:rsid w:val="00C36FCE"/>
    <w:rsid w:val="00D32E65"/>
    <w:rsid w:val="00D86FA0"/>
    <w:rsid w:val="00DA72CF"/>
    <w:rsid w:val="00E71E68"/>
    <w:rsid w:val="00F67ECF"/>
    <w:rsid w:val="00F7718C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166A"/>
  <w15:docId w15:val="{AF87FB0F-A47E-401A-B3F3-D4CC1203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013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013"/>
    <w:pPr>
      <w:ind w:left="720"/>
    </w:pPr>
  </w:style>
  <w:style w:type="paragraph" w:customStyle="1" w:styleId="xmsonormal">
    <w:name w:val="x_msonormal"/>
    <w:basedOn w:val="Normal"/>
    <w:rsid w:val="00801210"/>
    <w:rPr>
      <w:rFonts w:cs="Calibri"/>
      <w:lang w:eastAsia="hr-HR"/>
    </w:rPr>
  </w:style>
  <w:style w:type="paragraph" w:customStyle="1" w:styleId="xmsolistparagraph">
    <w:name w:val="x_msolistparagraph"/>
    <w:basedOn w:val="Normal"/>
    <w:rsid w:val="00801210"/>
    <w:pPr>
      <w:ind w:left="720"/>
    </w:pPr>
    <w:rPr>
      <w:rFonts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1E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1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64786-3C2C-42ED-AA4D-78DBA594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Briški</dc:creator>
  <cp:lastModifiedBy>Tomislav Briški</cp:lastModifiedBy>
  <cp:revision>30</cp:revision>
  <cp:lastPrinted>2024-11-08T10:05:00Z</cp:lastPrinted>
  <dcterms:created xsi:type="dcterms:W3CDTF">2024-10-17T10:30:00Z</dcterms:created>
  <dcterms:modified xsi:type="dcterms:W3CDTF">2024-11-08T11:11:00Z</dcterms:modified>
</cp:coreProperties>
</file>